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0D1" w:rsidRDefault="00B230D1"/>
    <w:p w:rsidR="006632AF" w:rsidRDefault="00B230D1"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409575</wp:posOffset>
            </wp:positionV>
            <wp:extent cx="8668417" cy="46196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8417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B78">
        <w:t>La lista de cuentas está alineado al Plan de cuentas emitido por el CONAC.</w:t>
      </w:r>
      <w:bookmarkStart w:id="0" w:name="_GoBack"/>
      <w:bookmarkEnd w:id="0"/>
    </w:p>
    <w:sectPr w:rsidR="006632AF" w:rsidSect="00B230D1">
      <w:pgSz w:w="15840" w:h="12240" w:orient="landscape"/>
      <w:pgMar w:top="426" w:right="814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0D1"/>
    <w:rsid w:val="006632AF"/>
    <w:rsid w:val="009F5B78"/>
    <w:rsid w:val="00B2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9C7B4-FDF3-4E3C-8659-3128AC24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dcterms:created xsi:type="dcterms:W3CDTF">2018-02-08T20:02:00Z</dcterms:created>
  <dcterms:modified xsi:type="dcterms:W3CDTF">2018-02-08T20:25:00Z</dcterms:modified>
</cp:coreProperties>
</file>